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51D" w:rsidRPr="00C605B8" w:rsidRDefault="00721A25" w:rsidP="00C605B8">
      <w:pPr>
        <w:jc w:val="center"/>
        <w:rPr>
          <w:b/>
          <w:sz w:val="44"/>
          <w:szCs w:val="44"/>
        </w:rPr>
      </w:pPr>
      <w:proofErr w:type="gramStart"/>
      <w:r w:rsidRPr="00C605B8">
        <w:rPr>
          <w:rFonts w:hint="eastAsia"/>
          <w:b/>
          <w:sz w:val="44"/>
          <w:szCs w:val="44"/>
        </w:rPr>
        <w:t>奥翔药业</w:t>
      </w:r>
      <w:proofErr w:type="gramEnd"/>
      <w:r w:rsidRPr="00C605B8">
        <w:rPr>
          <w:rFonts w:hint="eastAsia"/>
          <w:b/>
          <w:sz w:val="44"/>
          <w:szCs w:val="44"/>
        </w:rPr>
        <w:t>2</w:t>
      </w:r>
      <w:r w:rsidR="00092475" w:rsidRPr="00C605B8">
        <w:rPr>
          <w:rFonts w:hint="eastAsia"/>
          <w:b/>
          <w:sz w:val="44"/>
          <w:szCs w:val="44"/>
        </w:rPr>
        <w:t>02</w:t>
      </w:r>
      <w:r w:rsidR="009B6483">
        <w:rPr>
          <w:b/>
          <w:sz w:val="44"/>
          <w:szCs w:val="44"/>
        </w:rPr>
        <w:t>4</w:t>
      </w:r>
      <w:r w:rsidRPr="00C605B8">
        <w:rPr>
          <w:rFonts w:hint="eastAsia"/>
          <w:b/>
          <w:sz w:val="44"/>
          <w:szCs w:val="44"/>
        </w:rPr>
        <w:t>届校园招聘</w:t>
      </w:r>
    </w:p>
    <w:p w:rsidR="008D651D" w:rsidRDefault="00B15F91" w:rsidP="00B15F91">
      <w:pPr>
        <w:tabs>
          <w:tab w:val="left" w:pos="1305"/>
          <w:tab w:val="center" w:pos="4153"/>
        </w:tabs>
        <w:jc w:val="left"/>
        <w:rPr>
          <w:b/>
          <w:sz w:val="48"/>
          <w:szCs w:val="48"/>
        </w:rPr>
      </w:pPr>
      <w:r w:rsidRPr="00B15F91">
        <w:rPr>
          <w:sz w:val="44"/>
          <w:szCs w:val="44"/>
        </w:rPr>
        <w:tab/>
      </w:r>
      <w:r>
        <w:rPr>
          <w:b/>
          <w:sz w:val="44"/>
          <w:szCs w:val="44"/>
        </w:rPr>
        <w:tab/>
      </w:r>
      <w:r w:rsidR="00721A25">
        <w:rPr>
          <w:rFonts w:hint="eastAsia"/>
          <w:b/>
          <w:sz w:val="44"/>
          <w:szCs w:val="44"/>
        </w:rPr>
        <w:t>（股票代码</w:t>
      </w:r>
      <w:r w:rsidR="00721A25">
        <w:rPr>
          <w:rFonts w:hint="eastAsia"/>
          <w:b/>
          <w:sz w:val="44"/>
          <w:szCs w:val="44"/>
        </w:rPr>
        <w:t>603229</w:t>
      </w:r>
      <w:r w:rsidR="00721A25">
        <w:rPr>
          <w:rFonts w:hint="eastAsia"/>
          <w:b/>
          <w:sz w:val="44"/>
          <w:szCs w:val="44"/>
        </w:rPr>
        <w:t>）</w:t>
      </w:r>
    </w:p>
    <w:p w:rsidR="008D651D" w:rsidRDefault="008D651D">
      <w:pPr>
        <w:spacing w:line="360" w:lineRule="exact"/>
        <w:jc w:val="center"/>
        <w:rPr>
          <w:b/>
          <w:sz w:val="48"/>
          <w:szCs w:val="48"/>
        </w:rPr>
      </w:pPr>
    </w:p>
    <w:p w:rsidR="008D651D" w:rsidRPr="00A97988" w:rsidRDefault="00C605B8" w:rsidP="00427A80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A97988">
        <w:rPr>
          <w:rFonts w:ascii="仿宋" w:eastAsia="仿宋" w:hAnsi="仿宋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7D397A11" wp14:editId="210CCB0C">
            <wp:simplePos x="0" y="0"/>
            <wp:positionH relativeFrom="column">
              <wp:posOffset>-2729230</wp:posOffset>
            </wp:positionH>
            <wp:positionV relativeFrom="paragraph">
              <wp:posOffset>75565</wp:posOffset>
            </wp:positionV>
            <wp:extent cx="1143000" cy="1114425"/>
            <wp:effectExtent l="0" t="0" r="0" b="9525"/>
            <wp:wrapNone/>
            <wp:docPr id="1" name="图片 1" descr="C:\Users\Administrator\AppData\Roaming\Tencent\Users\442498873\QQ\WinTemp\RichOle\O@]K4[3G06[U``HBUR5K$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442498873\QQ\WinTemp\RichOle\O@]K4[3G06[U``HBUR5K$H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82" t="5970" r="5882" b="6716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21A25" w:rsidRPr="00A97988">
        <w:rPr>
          <w:rFonts w:ascii="仿宋" w:eastAsia="仿宋" w:hAnsi="仿宋" w:hint="eastAsia"/>
          <w:b/>
          <w:sz w:val="28"/>
          <w:szCs w:val="28"/>
        </w:rPr>
        <w:t>一、公司简介</w:t>
      </w:r>
    </w:p>
    <w:p w:rsidR="00FF186B" w:rsidRPr="00FF186B" w:rsidRDefault="00AE0590" w:rsidP="00FF186B">
      <w:pPr>
        <w:spacing w:line="560" w:lineRule="exact"/>
        <w:ind w:firstLine="480"/>
        <w:rPr>
          <w:rFonts w:ascii="仿宋" w:eastAsia="仿宋" w:hAnsi="仿宋" w:hint="eastAsia"/>
          <w:sz w:val="28"/>
          <w:szCs w:val="28"/>
        </w:rPr>
      </w:pPr>
      <w:bookmarkStart w:id="0" w:name="OLE_LINK2"/>
      <w:bookmarkStart w:id="1" w:name="OLE_LINK67"/>
      <w:bookmarkStart w:id="2" w:name="OLE_LINK68"/>
      <w:bookmarkStart w:id="3" w:name="OLE_LINK1"/>
      <w:r w:rsidRPr="00AE0590">
        <w:rPr>
          <w:rFonts w:ascii="仿宋" w:eastAsia="仿宋" w:hAnsi="仿宋" w:hint="eastAsia"/>
          <w:sz w:val="28"/>
          <w:szCs w:val="28"/>
        </w:rPr>
        <w:t>浙江奥翔药业股份有限公司，总部位于浙江省台州市，公司成立于2010年，2017年5月在上海证券交易所上市。现有员工1000余人，在国内外拥有多家子公司。公司正筹划在上海、杭州、长沙和成都等城市成立研发中心。</w:t>
      </w:r>
      <w:r>
        <w:rPr>
          <w:rFonts w:ascii="仿宋" w:eastAsia="仿宋" w:hAnsi="仿宋" w:hint="eastAsia"/>
          <w:sz w:val="28"/>
          <w:szCs w:val="28"/>
        </w:rPr>
        <w:cr/>
      </w:r>
      <w:r>
        <w:rPr>
          <w:rFonts w:ascii="仿宋" w:eastAsia="仿宋" w:hAnsi="仿宋"/>
          <w:sz w:val="28"/>
          <w:szCs w:val="28"/>
        </w:rPr>
        <w:t xml:space="preserve">   </w:t>
      </w:r>
      <w:bookmarkStart w:id="4" w:name="OLE_LINK3"/>
      <w:bookmarkEnd w:id="0"/>
      <w:bookmarkEnd w:id="1"/>
      <w:bookmarkEnd w:id="2"/>
      <w:bookmarkEnd w:id="3"/>
      <w:r w:rsidR="00FF186B" w:rsidRPr="00FF186B">
        <w:rPr>
          <w:rFonts w:ascii="仿宋" w:eastAsia="仿宋" w:hAnsi="仿宋" w:hint="eastAsia"/>
          <w:sz w:val="28"/>
          <w:szCs w:val="28"/>
        </w:rPr>
        <w:t>公司主要从事特色原料药、关键中间体、药物制剂的研发、生产和销售，以及为客户提供CDMO业务。产品主要出口欧、美、日、韩等国家和地区。公司为国家级高新技术企业，公司建有国家级博士后工作站、浙江省高端手性药物重点企业研究院、浙江省企业技术中心等平台。目前，公司正积极筹建杭州研发中心。2022年年</w:t>
      </w:r>
      <w:proofErr w:type="gramStart"/>
      <w:r w:rsidR="00FF186B" w:rsidRPr="00FF186B">
        <w:rPr>
          <w:rFonts w:ascii="仿宋" w:eastAsia="仿宋" w:hAnsi="仿宋" w:hint="eastAsia"/>
          <w:sz w:val="28"/>
          <w:szCs w:val="28"/>
        </w:rPr>
        <w:t>底位于台州主</w:t>
      </w:r>
      <w:proofErr w:type="gramEnd"/>
      <w:r w:rsidR="00FF186B" w:rsidRPr="00FF186B">
        <w:rPr>
          <w:rFonts w:ascii="仿宋" w:eastAsia="仿宋" w:hAnsi="仿宋" w:hint="eastAsia"/>
          <w:sz w:val="28"/>
          <w:szCs w:val="28"/>
        </w:rPr>
        <w:t>城区的制剂子公司浙江麒正药业有限公司已投入生产。</w:t>
      </w:r>
    </w:p>
    <w:p w:rsidR="00FF186B" w:rsidRPr="00FF186B" w:rsidRDefault="00FF186B" w:rsidP="00FF186B">
      <w:pPr>
        <w:spacing w:line="560" w:lineRule="exact"/>
        <w:ind w:firstLine="480"/>
        <w:rPr>
          <w:rFonts w:ascii="仿宋" w:eastAsia="仿宋" w:hAnsi="仿宋" w:hint="eastAsia"/>
          <w:sz w:val="28"/>
          <w:szCs w:val="28"/>
        </w:rPr>
      </w:pPr>
      <w:r w:rsidRPr="00FF186B">
        <w:rPr>
          <w:rFonts w:ascii="仿宋" w:eastAsia="仿宋" w:hAnsi="仿宋" w:hint="eastAsia"/>
          <w:sz w:val="28"/>
          <w:szCs w:val="28"/>
        </w:rPr>
        <w:t>公司秉承“服务健康、共创未来”的理念，贯彻“尊重、诚信、合作、共赢”的核心价值观；坚持“团结勤奋、求实创新、做人做事、回报社会”的企业文化。</w:t>
      </w:r>
    </w:p>
    <w:p w:rsidR="00FF186B" w:rsidRDefault="00FF186B" w:rsidP="00FF186B">
      <w:pPr>
        <w:spacing w:line="560" w:lineRule="exact"/>
        <w:ind w:firstLine="480"/>
        <w:rPr>
          <w:rFonts w:ascii="仿宋" w:eastAsia="仿宋" w:hAnsi="仿宋" w:hint="eastAsia"/>
          <w:b/>
          <w:sz w:val="28"/>
          <w:szCs w:val="28"/>
        </w:rPr>
      </w:pPr>
      <w:r w:rsidRPr="00FF186B">
        <w:rPr>
          <w:rFonts w:ascii="仿宋" w:eastAsia="仿宋" w:hAnsi="仿宋" w:hint="eastAsia"/>
          <w:sz w:val="28"/>
          <w:szCs w:val="28"/>
        </w:rPr>
        <w:t>务实开放</w:t>
      </w:r>
      <w:proofErr w:type="gramStart"/>
      <w:r w:rsidRPr="00FF186B">
        <w:rPr>
          <w:rFonts w:ascii="仿宋" w:eastAsia="仿宋" w:hAnsi="仿宋" w:hint="eastAsia"/>
          <w:sz w:val="28"/>
          <w:szCs w:val="28"/>
        </w:rPr>
        <w:t>的奥翔药业</w:t>
      </w:r>
      <w:proofErr w:type="gramEnd"/>
      <w:r w:rsidRPr="00FF186B">
        <w:rPr>
          <w:rFonts w:ascii="仿宋" w:eastAsia="仿宋" w:hAnsi="仿宋" w:hint="eastAsia"/>
          <w:sz w:val="28"/>
          <w:szCs w:val="28"/>
        </w:rPr>
        <w:t>正朝着“具有全球一流竞争力的药业集团”的</w:t>
      </w:r>
      <w:proofErr w:type="gramStart"/>
      <w:r w:rsidRPr="00FF186B">
        <w:rPr>
          <w:rFonts w:ascii="仿宋" w:eastAsia="仿宋" w:hAnsi="仿宋" w:hint="eastAsia"/>
          <w:sz w:val="28"/>
          <w:szCs w:val="28"/>
        </w:rPr>
        <w:t>企业愿景坚实</w:t>
      </w:r>
      <w:proofErr w:type="gramEnd"/>
      <w:r w:rsidRPr="00FF186B">
        <w:rPr>
          <w:rFonts w:ascii="仿宋" w:eastAsia="仿宋" w:hAnsi="仿宋" w:hint="eastAsia"/>
          <w:sz w:val="28"/>
          <w:szCs w:val="28"/>
        </w:rPr>
        <w:t>而笃定的迈进，只要你肯学肯干，我们一同进步。</w:t>
      </w:r>
      <w:r w:rsidR="00721A25" w:rsidRPr="00A97988">
        <w:rPr>
          <w:rFonts w:ascii="仿宋" w:eastAsia="仿宋" w:hAnsi="仿宋" w:hint="eastAsia"/>
          <w:b/>
          <w:sz w:val="28"/>
          <w:szCs w:val="28"/>
        </w:rPr>
        <w:t>二、</w:t>
      </w:r>
      <w:r>
        <w:rPr>
          <w:rFonts w:ascii="仿宋" w:eastAsia="仿宋" w:hAnsi="仿宋" w:hint="eastAsia"/>
          <w:b/>
          <w:sz w:val="28"/>
          <w:szCs w:val="28"/>
        </w:rPr>
        <w:t>二</w:t>
      </w:r>
      <w:r>
        <w:rPr>
          <w:rFonts w:ascii="仿宋" w:eastAsia="仿宋" w:hAnsi="仿宋"/>
          <w:b/>
          <w:sz w:val="28"/>
          <w:szCs w:val="28"/>
        </w:rPr>
        <w:t>、</w:t>
      </w:r>
      <w:r w:rsidR="00721A25" w:rsidRPr="00A97988">
        <w:rPr>
          <w:rFonts w:ascii="仿宋" w:eastAsia="仿宋" w:hAnsi="仿宋" w:hint="eastAsia"/>
          <w:b/>
          <w:sz w:val="28"/>
          <w:szCs w:val="28"/>
        </w:rPr>
        <w:t>招聘岗位</w:t>
      </w:r>
    </w:p>
    <w:tbl>
      <w:tblPr>
        <w:tblStyle w:val="a7"/>
        <w:tblW w:w="10023" w:type="dxa"/>
        <w:jc w:val="center"/>
        <w:tblLook w:val="04A0" w:firstRow="1" w:lastRow="0" w:firstColumn="1" w:lastColumn="0" w:noHBand="0" w:noVBand="1"/>
      </w:tblPr>
      <w:tblGrid>
        <w:gridCol w:w="1143"/>
        <w:gridCol w:w="2118"/>
        <w:gridCol w:w="751"/>
        <w:gridCol w:w="6011"/>
      </w:tblGrid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FF186B">
              <w:rPr>
                <w:rFonts w:asciiTheme="minorEastAsia" w:hAnsiTheme="minorEastAsia" w:hint="eastAsia"/>
                <w:b/>
                <w:bCs/>
                <w:szCs w:val="21"/>
              </w:rPr>
              <w:t>岗位类别</w:t>
            </w: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FF186B">
              <w:rPr>
                <w:rFonts w:asciiTheme="minorEastAsia" w:hAnsiTheme="minorEastAsia" w:hint="eastAsia"/>
                <w:b/>
                <w:bCs/>
                <w:szCs w:val="21"/>
              </w:rPr>
              <w:t>岗位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FF186B">
              <w:rPr>
                <w:rFonts w:asciiTheme="minorEastAsia" w:hAnsiTheme="minorEastAsia" w:hint="eastAsia"/>
                <w:b/>
                <w:bCs/>
                <w:szCs w:val="21"/>
              </w:rPr>
              <w:t>人数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 w:rsidRPr="00FF186B">
              <w:rPr>
                <w:rFonts w:asciiTheme="minorEastAsia" w:hAnsiTheme="minorEastAsia" w:hint="eastAsia"/>
                <w:b/>
                <w:bCs/>
                <w:szCs w:val="21"/>
              </w:rPr>
              <w:t>专业</w:t>
            </w:r>
            <w:r w:rsidRPr="00FF186B">
              <w:rPr>
                <w:rFonts w:asciiTheme="minorEastAsia" w:hAnsiTheme="minorEastAsia"/>
                <w:b/>
                <w:bCs/>
                <w:szCs w:val="21"/>
              </w:rPr>
              <w:t>要求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 w:val="restart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研发类</w:t>
            </w: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合成研究员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30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260" w:lineRule="exact"/>
              <w:jc w:val="center"/>
              <w:rPr>
                <w:rFonts w:asciiTheme="minorEastAsia" w:hAnsiTheme="minorEastAsia"/>
                <w:bCs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化学、药化、化学工程、有机化学等相关专业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  <w:r w:rsidRPr="00FF186B">
              <w:rPr>
                <w:rFonts w:asciiTheme="minorEastAsia" w:hAnsiTheme="minorEastAsia"/>
                <w:szCs w:val="21"/>
              </w:rPr>
              <w:t>本科</w:t>
            </w:r>
            <w:r w:rsidRPr="00FF186B">
              <w:rPr>
                <w:rFonts w:asciiTheme="minorEastAsia" w:hAnsiTheme="minorEastAsia" w:hint="eastAsia"/>
                <w:szCs w:val="21"/>
              </w:rPr>
              <w:t>及</w:t>
            </w:r>
            <w:r w:rsidRPr="00FF186B">
              <w:rPr>
                <w:rFonts w:asciiTheme="minorEastAsia" w:hAnsiTheme="minorEastAsia"/>
                <w:szCs w:val="21"/>
              </w:rPr>
              <w:t>以上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结晶研究员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300" w:lineRule="exact"/>
              <w:jc w:val="center"/>
              <w:rPr>
                <w:rFonts w:asciiTheme="minorEastAsia" w:hAnsiTheme="minorEastAsia"/>
                <w:bCs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化学、药化、化学工程、有机化学等相关专业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；硕士及以上；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生物与</w:t>
            </w:r>
            <w:r w:rsidRPr="00FF186B">
              <w:rPr>
                <w:rFonts w:asciiTheme="minorEastAsia" w:hAnsiTheme="minorEastAsia" w:hint="eastAsia"/>
                <w:szCs w:val="21"/>
              </w:rPr>
              <w:t>酶</w:t>
            </w:r>
            <w:r w:rsidRPr="00FF186B">
              <w:rPr>
                <w:rFonts w:asciiTheme="minorEastAsia" w:hAnsiTheme="minorEastAsia"/>
                <w:szCs w:val="21"/>
              </w:rPr>
              <w:t>技术研究员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32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发酵</w:t>
            </w:r>
            <w:r w:rsidRPr="00FF186B">
              <w:rPr>
                <w:rFonts w:asciiTheme="minorEastAsia" w:hAnsiTheme="minorEastAsia"/>
                <w:szCs w:val="21"/>
              </w:rPr>
              <w:t>、生物技术等相关专业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  <w:r w:rsidRPr="00FF186B">
              <w:rPr>
                <w:rFonts w:asciiTheme="minorEastAsia" w:hAnsiTheme="minorEastAsia"/>
                <w:szCs w:val="21"/>
              </w:rPr>
              <w:t>本科</w:t>
            </w:r>
            <w:r w:rsidRPr="00FF186B">
              <w:rPr>
                <w:rFonts w:asciiTheme="minorEastAsia" w:hAnsiTheme="minorEastAsia" w:hint="eastAsia"/>
                <w:szCs w:val="21"/>
              </w:rPr>
              <w:t>及</w:t>
            </w:r>
            <w:r w:rsidRPr="00FF186B">
              <w:rPr>
                <w:rFonts w:asciiTheme="minorEastAsia" w:hAnsiTheme="minorEastAsia"/>
                <w:szCs w:val="21"/>
              </w:rPr>
              <w:t>以上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制剂研究员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cs="Arial"/>
                <w:color w:val="000000" w:themeColor="dark1"/>
                <w:szCs w:val="21"/>
              </w:rPr>
              <w:t>10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320" w:lineRule="exact"/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药剂学、药学、制药工程相关专业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  <w:r w:rsidRPr="00FF186B">
              <w:rPr>
                <w:rFonts w:asciiTheme="minorEastAsia" w:hAnsiTheme="minorEastAsia"/>
                <w:szCs w:val="21"/>
              </w:rPr>
              <w:t>本科</w:t>
            </w:r>
            <w:r w:rsidRPr="00FF186B">
              <w:rPr>
                <w:rFonts w:asciiTheme="minorEastAsia" w:hAnsiTheme="minorEastAsia" w:hint="eastAsia"/>
                <w:szCs w:val="21"/>
              </w:rPr>
              <w:t>及</w:t>
            </w:r>
            <w:r w:rsidRPr="00FF186B">
              <w:rPr>
                <w:rFonts w:asciiTheme="minorEastAsia" w:hAnsiTheme="minorEastAsia"/>
                <w:szCs w:val="21"/>
              </w:rPr>
              <w:t>以上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 w:val="restart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分析类</w:t>
            </w: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制剂</w:t>
            </w:r>
            <w:r w:rsidRPr="00FF186B">
              <w:rPr>
                <w:rFonts w:asciiTheme="minorEastAsia" w:hAnsiTheme="minorEastAsia" w:hint="eastAsia"/>
                <w:szCs w:val="21"/>
              </w:rPr>
              <w:t>质量</w:t>
            </w:r>
            <w:r w:rsidRPr="00FF186B">
              <w:rPr>
                <w:rFonts w:asciiTheme="minorEastAsia" w:hAnsiTheme="minorEastAsia"/>
                <w:szCs w:val="21"/>
              </w:rPr>
              <w:t>研究员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cs="Arial" w:hint="eastAsia"/>
                <w:color w:val="000000" w:themeColor="dark1"/>
                <w:szCs w:val="21"/>
              </w:rPr>
              <w:t>2</w:t>
            </w:r>
            <w:r w:rsidRPr="00FF186B">
              <w:rPr>
                <w:rFonts w:asciiTheme="minorEastAsia" w:hAnsiTheme="minorEastAsia" w:cs="Arial"/>
                <w:color w:val="000000" w:themeColor="dark1"/>
                <w:szCs w:val="21"/>
              </w:rPr>
              <w:t>0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260" w:lineRule="exact"/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药学、药物分析、制药工程等相关专业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  <w:r w:rsidRPr="00FF186B">
              <w:rPr>
                <w:rFonts w:asciiTheme="minorEastAsia" w:hAnsiTheme="minorEastAsia"/>
                <w:szCs w:val="21"/>
              </w:rPr>
              <w:t>本科</w:t>
            </w:r>
            <w:r w:rsidRPr="00FF186B">
              <w:rPr>
                <w:rFonts w:asciiTheme="minorEastAsia" w:hAnsiTheme="minorEastAsia" w:hint="eastAsia"/>
                <w:szCs w:val="21"/>
              </w:rPr>
              <w:t>及</w:t>
            </w:r>
            <w:r w:rsidRPr="00FF186B">
              <w:rPr>
                <w:rFonts w:asciiTheme="minorEastAsia" w:hAnsiTheme="minorEastAsia"/>
                <w:szCs w:val="21"/>
              </w:rPr>
              <w:t>以上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原料药质量</w:t>
            </w:r>
            <w:r w:rsidRPr="00FF186B">
              <w:rPr>
                <w:rFonts w:asciiTheme="minorEastAsia" w:hAnsiTheme="minorEastAsia"/>
                <w:szCs w:val="21"/>
              </w:rPr>
              <w:t>研究员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cs="Arial"/>
                <w:color w:val="000000" w:themeColor="dark1"/>
                <w:szCs w:val="21"/>
              </w:rPr>
              <w:t>20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260" w:lineRule="exact"/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化学、药学、</w:t>
            </w:r>
            <w:r w:rsidRPr="00FF186B">
              <w:rPr>
                <w:rFonts w:asciiTheme="minorEastAsia" w:hAnsiTheme="minorEastAsia" w:hint="eastAsia"/>
                <w:szCs w:val="21"/>
              </w:rPr>
              <w:t>药</w:t>
            </w:r>
            <w:r w:rsidRPr="00FF186B">
              <w:rPr>
                <w:rFonts w:asciiTheme="minorEastAsia" w:hAnsiTheme="minorEastAsia"/>
                <w:szCs w:val="21"/>
              </w:rPr>
              <w:t>物分析、制药工程等相关专业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  <w:r w:rsidRPr="00FF186B">
              <w:rPr>
                <w:rFonts w:asciiTheme="minorEastAsia" w:hAnsiTheme="minorEastAsia"/>
                <w:szCs w:val="21"/>
              </w:rPr>
              <w:t>本科</w:t>
            </w:r>
            <w:r w:rsidRPr="00FF186B">
              <w:rPr>
                <w:rFonts w:asciiTheme="minorEastAsia" w:hAnsiTheme="minorEastAsia" w:hint="eastAsia"/>
                <w:szCs w:val="21"/>
              </w:rPr>
              <w:t>及</w:t>
            </w:r>
            <w:r w:rsidRPr="00FF186B">
              <w:rPr>
                <w:rFonts w:asciiTheme="minorEastAsia" w:hAnsiTheme="minorEastAsia"/>
                <w:szCs w:val="21"/>
              </w:rPr>
              <w:t>以上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质量分析</w:t>
            </w:r>
            <w:r w:rsidRPr="00FF186B">
              <w:rPr>
                <w:rFonts w:asciiTheme="minorEastAsia" w:hAnsiTheme="minorEastAsia"/>
                <w:szCs w:val="21"/>
              </w:rPr>
              <w:t>员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cs="Arial"/>
                <w:color w:val="000000" w:themeColor="dark1"/>
                <w:szCs w:val="21"/>
              </w:rPr>
              <w:t>40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260" w:lineRule="exact"/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化学、药学、分析化学、药物分析等相关专业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  <w:r w:rsidRPr="00FF186B">
              <w:rPr>
                <w:rFonts w:asciiTheme="minorEastAsia" w:hAnsiTheme="minorEastAsia"/>
                <w:szCs w:val="21"/>
              </w:rPr>
              <w:t>本科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 w:val="restart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工程类</w:t>
            </w: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设备工程师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cs="Arial"/>
                <w:color w:val="000000" w:themeColor="dark1"/>
                <w:szCs w:val="21"/>
              </w:rPr>
              <w:t>3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260" w:lineRule="exact"/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过控、机械设备、机电等相关专业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  <w:r w:rsidRPr="00FF186B">
              <w:rPr>
                <w:rFonts w:asciiTheme="minorEastAsia" w:hAnsiTheme="minorEastAsia"/>
                <w:szCs w:val="21"/>
              </w:rPr>
              <w:t>本科</w:t>
            </w:r>
            <w:r w:rsidRPr="00FF186B">
              <w:rPr>
                <w:rFonts w:asciiTheme="minorEastAsia" w:hAnsiTheme="minorEastAsia" w:hint="eastAsia"/>
                <w:szCs w:val="21"/>
              </w:rPr>
              <w:t>及</w:t>
            </w:r>
            <w:r w:rsidRPr="00FF186B">
              <w:rPr>
                <w:rFonts w:asciiTheme="minorEastAsia" w:hAnsiTheme="minorEastAsia"/>
                <w:szCs w:val="21"/>
              </w:rPr>
              <w:t>以上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电气工程师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cs="Arial" w:hint="eastAsia"/>
                <w:color w:val="000000" w:themeColor="dark1"/>
                <w:szCs w:val="21"/>
              </w:rPr>
              <w:t>2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260" w:lineRule="exact"/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机电、电气、自动化等相关专业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；本科及</w:t>
            </w:r>
            <w:r w:rsidRPr="00FF186B">
              <w:rPr>
                <w:rFonts w:asciiTheme="minorEastAsia" w:hAnsiTheme="minorEastAsia"/>
                <w:szCs w:val="21"/>
              </w:rPr>
              <w:t>以上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 w:val="restart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职能类</w:t>
            </w: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环保工程师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 w:cs="Arial" w:hint="eastAsia"/>
                <w:color w:val="000000" w:themeColor="dark1"/>
                <w:szCs w:val="21"/>
              </w:rPr>
              <w:t>1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260" w:lineRule="exact"/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环境工程等相关专业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  <w:r w:rsidRPr="00FF186B">
              <w:rPr>
                <w:rFonts w:asciiTheme="minorEastAsia" w:hAnsiTheme="minorEastAsia"/>
                <w:szCs w:val="21"/>
              </w:rPr>
              <w:t>本科</w:t>
            </w:r>
            <w:r w:rsidRPr="00FF186B">
              <w:rPr>
                <w:rFonts w:asciiTheme="minorEastAsia" w:hAnsiTheme="minorEastAsia" w:hint="eastAsia"/>
                <w:szCs w:val="21"/>
              </w:rPr>
              <w:t>及</w:t>
            </w:r>
            <w:r w:rsidRPr="00FF186B">
              <w:rPr>
                <w:rFonts w:asciiTheme="minorEastAsia" w:hAnsiTheme="minorEastAsia"/>
                <w:szCs w:val="21"/>
              </w:rPr>
              <w:t>以上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安全工程师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 w:cs="Arial" w:hint="eastAsia"/>
                <w:color w:val="000000" w:themeColor="dark1"/>
                <w:szCs w:val="21"/>
              </w:rPr>
              <w:t>1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260" w:lineRule="exact"/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安全工程等相关专业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  <w:r w:rsidRPr="00FF186B">
              <w:rPr>
                <w:rFonts w:asciiTheme="minorEastAsia" w:hAnsiTheme="minorEastAsia"/>
                <w:szCs w:val="21"/>
              </w:rPr>
              <w:t>本科</w:t>
            </w:r>
            <w:r w:rsidRPr="00FF186B">
              <w:rPr>
                <w:rFonts w:asciiTheme="minorEastAsia" w:hAnsiTheme="minorEastAsia" w:hint="eastAsia"/>
                <w:szCs w:val="21"/>
              </w:rPr>
              <w:t>及</w:t>
            </w:r>
            <w:r w:rsidRPr="00FF186B">
              <w:rPr>
                <w:rFonts w:asciiTheme="minorEastAsia" w:hAnsiTheme="minorEastAsia"/>
                <w:szCs w:val="21"/>
              </w:rPr>
              <w:t>以上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注册（定向生）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 w:cs="Arial"/>
                <w:color w:val="000000" w:themeColor="dark1"/>
                <w:szCs w:val="21"/>
              </w:rPr>
              <w:t>10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260" w:lineRule="exact"/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化</w:t>
            </w:r>
            <w:r w:rsidRPr="00FF186B">
              <w:rPr>
                <w:rFonts w:asciiTheme="minorEastAsia" w:hAnsiTheme="minorEastAsia" w:hint="eastAsia"/>
                <w:szCs w:val="21"/>
              </w:rPr>
              <w:t>学</w:t>
            </w:r>
            <w:r w:rsidRPr="00FF186B">
              <w:rPr>
                <w:rFonts w:asciiTheme="minorEastAsia" w:hAnsiTheme="minorEastAsia"/>
                <w:szCs w:val="21"/>
              </w:rPr>
              <w:t>、医药等相关专业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  <w:r w:rsidRPr="00FF186B">
              <w:rPr>
                <w:rFonts w:asciiTheme="minorEastAsia" w:hAnsiTheme="minorEastAsia"/>
                <w:szCs w:val="21"/>
              </w:rPr>
              <w:t>硕士</w:t>
            </w:r>
            <w:r w:rsidRPr="00FF186B">
              <w:rPr>
                <w:rFonts w:asciiTheme="minorEastAsia" w:hAnsiTheme="minorEastAsia" w:cs="Arial" w:hint="eastAsia"/>
                <w:color w:val="000000" w:themeColor="dark1"/>
                <w:szCs w:val="21"/>
              </w:rPr>
              <w:t>，CET-6；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proofErr w:type="gramStart"/>
            <w:r w:rsidRPr="00FF186B">
              <w:rPr>
                <w:rFonts w:asciiTheme="minorEastAsia" w:hAnsiTheme="minorEastAsia" w:hint="eastAsia"/>
                <w:szCs w:val="21"/>
              </w:rPr>
              <w:t>外贸员</w:t>
            </w:r>
            <w:proofErr w:type="gramEnd"/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 w:cs="Arial"/>
                <w:color w:val="000000" w:themeColor="dark1"/>
                <w:szCs w:val="21"/>
              </w:rPr>
              <w:t>5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2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英语方向</w:t>
            </w:r>
            <w:r w:rsidRPr="00FF186B">
              <w:rPr>
                <w:rFonts w:asciiTheme="minorEastAsia" w:hAnsiTheme="minorEastAsia" w:hint="eastAsia"/>
                <w:szCs w:val="21"/>
              </w:rPr>
              <w:t>，</w:t>
            </w:r>
            <w:r w:rsidRPr="00FF186B">
              <w:rPr>
                <w:rFonts w:asciiTheme="minorEastAsia" w:hAnsiTheme="minorEastAsia"/>
                <w:szCs w:val="21"/>
              </w:rPr>
              <w:t>有医药、化工等相关专业背景，</w:t>
            </w:r>
            <w:r w:rsidRPr="00FF186B">
              <w:rPr>
                <w:rFonts w:asciiTheme="minorEastAsia" w:hAnsiTheme="minorEastAsia" w:hint="eastAsia"/>
                <w:szCs w:val="21"/>
              </w:rPr>
              <w:t>CET</w:t>
            </w:r>
            <w:r w:rsidRPr="00FF186B">
              <w:rPr>
                <w:rFonts w:asciiTheme="minorEastAsia" w:hAnsiTheme="minorEastAsia"/>
                <w:szCs w:val="21"/>
              </w:rPr>
              <w:t>-6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  <w:p w:rsidR="00FF186B" w:rsidRPr="00FF186B" w:rsidRDefault="00FF186B" w:rsidP="008D2ABB">
            <w:pPr>
              <w:spacing w:line="260" w:lineRule="exact"/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日语方向，日语N</w:t>
            </w:r>
            <w:r w:rsidRPr="00FF186B">
              <w:rPr>
                <w:rFonts w:asciiTheme="minorEastAsia" w:hAnsiTheme="minorEastAsia"/>
                <w:szCs w:val="21"/>
              </w:rPr>
              <w:t>1；本科</w:t>
            </w:r>
            <w:r w:rsidRPr="00FF186B">
              <w:rPr>
                <w:rFonts w:asciiTheme="minorEastAsia" w:hAnsiTheme="minorEastAsia" w:hint="eastAsia"/>
                <w:szCs w:val="21"/>
              </w:rPr>
              <w:t>及</w:t>
            </w:r>
            <w:r w:rsidRPr="00FF186B">
              <w:rPr>
                <w:rFonts w:asciiTheme="minorEastAsia" w:hAnsiTheme="minorEastAsia"/>
                <w:szCs w:val="21"/>
              </w:rPr>
              <w:t>以上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  <w:tr w:rsidR="00FF186B" w:rsidRPr="00FF186B" w:rsidTr="008D2ABB">
        <w:trPr>
          <w:trHeight w:hRule="exact" w:val="624"/>
          <w:jc w:val="center"/>
        </w:trPr>
        <w:tc>
          <w:tcPr>
            <w:tcW w:w="1143" w:type="dxa"/>
            <w:vMerge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18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 w:hint="eastAsia"/>
                <w:szCs w:val="21"/>
              </w:rPr>
              <w:t>I</w:t>
            </w:r>
            <w:r w:rsidRPr="00FF186B">
              <w:rPr>
                <w:rFonts w:asciiTheme="minorEastAsia" w:hAnsiTheme="minorEastAsia"/>
                <w:szCs w:val="21"/>
              </w:rPr>
              <w:t>T工程师</w:t>
            </w:r>
          </w:p>
        </w:tc>
        <w:tc>
          <w:tcPr>
            <w:tcW w:w="751" w:type="dxa"/>
            <w:vAlign w:val="center"/>
          </w:tcPr>
          <w:p w:rsidR="00FF186B" w:rsidRPr="00FF186B" w:rsidRDefault="00FF186B" w:rsidP="008D2ABB">
            <w:pPr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 w:cs="Arial" w:hint="eastAsia"/>
                <w:color w:val="000000" w:themeColor="dark1"/>
                <w:szCs w:val="21"/>
              </w:rPr>
              <w:t>1</w:t>
            </w:r>
          </w:p>
        </w:tc>
        <w:tc>
          <w:tcPr>
            <w:tcW w:w="6011" w:type="dxa"/>
            <w:vAlign w:val="center"/>
          </w:tcPr>
          <w:p w:rsidR="00FF186B" w:rsidRPr="00FF186B" w:rsidRDefault="00FF186B" w:rsidP="008D2ABB">
            <w:pPr>
              <w:spacing w:line="260" w:lineRule="exact"/>
              <w:jc w:val="center"/>
              <w:rPr>
                <w:rFonts w:asciiTheme="minorEastAsia" w:hAnsiTheme="minorEastAsia" w:cs="Arial"/>
                <w:color w:val="000000" w:themeColor="dark1"/>
                <w:szCs w:val="21"/>
              </w:rPr>
            </w:pPr>
            <w:r w:rsidRPr="00FF186B">
              <w:rPr>
                <w:rFonts w:asciiTheme="minorEastAsia" w:hAnsiTheme="minorEastAsia"/>
                <w:szCs w:val="21"/>
              </w:rPr>
              <w:t>人工智能、AI方向的计算机等相关专业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  <w:r w:rsidRPr="00FF186B">
              <w:rPr>
                <w:rFonts w:asciiTheme="minorEastAsia" w:hAnsiTheme="minorEastAsia"/>
                <w:szCs w:val="21"/>
              </w:rPr>
              <w:t>硕士</w:t>
            </w:r>
            <w:r w:rsidRPr="00FF186B">
              <w:rPr>
                <w:rFonts w:asciiTheme="minorEastAsia" w:hAnsiTheme="minorEastAsia" w:hint="eastAsia"/>
                <w:szCs w:val="21"/>
              </w:rPr>
              <w:t>及</w:t>
            </w:r>
            <w:r w:rsidRPr="00FF186B">
              <w:rPr>
                <w:rFonts w:asciiTheme="minorEastAsia" w:hAnsiTheme="minorEastAsia"/>
                <w:szCs w:val="21"/>
              </w:rPr>
              <w:t>以上</w:t>
            </w:r>
            <w:r w:rsidRPr="00FF186B">
              <w:rPr>
                <w:rFonts w:asciiTheme="minorEastAsia" w:hAnsiTheme="minorEastAsia" w:hint="eastAsia"/>
                <w:szCs w:val="21"/>
              </w:rPr>
              <w:t>；</w:t>
            </w:r>
          </w:p>
        </w:tc>
      </w:tr>
    </w:tbl>
    <w:p w:rsidR="00FF186B" w:rsidRPr="00FF186B" w:rsidRDefault="00FF186B" w:rsidP="00FF186B">
      <w:pPr>
        <w:spacing w:line="560" w:lineRule="exact"/>
        <w:ind w:firstLine="480"/>
        <w:rPr>
          <w:rFonts w:ascii="仿宋" w:eastAsia="仿宋" w:hAnsi="仿宋" w:hint="eastAsia"/>
          <w:b/>
          <w:sz w:val="28"/>
          <w:szCs w:val="28"/>
        </w:rPr>
      </w:pPr>
    </w:p>
    <w:p w:rsidR="004107BD" w:rsidRDefault="00586071" w:rsidP="00586071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三、</w:t>
      </w:r>
      <w:r w:rsidR="00BF0A39" w:rsidRPr="00556553">
        <w:rPr>
          <w:rFonts w:ascii="仿宋" w:eastAsia="仿宋" w:hAnsi="仿宋"/>
          <w:b/>
          <w:sz w:val="28"/>
          <w:szCs w:val="28"/>
        </w:rPr>
        <w:t>薪酬待遇</w:t>
      </w:r>
    </w:p>
    <w:p w:rsidR="00620C94" w:rsidRDefault="00620C94" w:rsidP="00620C94">
      <w:pPr>
        <w:spacing w:line="360" w:lineRule="auto"/>
        <w:ind w:rightChars="-297" w:right="-624" w:firstLineChars="200" w:firstLine="480"/>
        <w:jc w:val="left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1、本科：综合年收入11</w:t>
      </w:r>
      <w:r>
        <w:rPr>
          <w:rFonts w:ascii="仿宋" w:eastAsia="仿宋" w:hAnsi="仿宋" w:cs="Arial"/>
          <w:sz w:val="24"/>
          <w:szCs w:val="24"/>
        </w:rPr>
        <w:t>.5</w:t>
      </w:r>
      <w:r>
        <w:rPr>
          <w:rFonts w:ascii="仿宋" w:eastAsia="仿宋" w:hAnsi="仿宋" w:cs="Arial" w:hint="eastAsia"/>
          <w:sz w:val="24"/>
          <w:szCs w:val="24"/>
        </w:rPr>
        <w:t>万—1</w:t>
      </w:r>
      <w:r>
        <w:rPr>
          <w:rFonts w:ascii="仿宋" w:eastAsia="仿宋" w:hAnsi="仿宋" w:cs="Arial"/>
          <w:sz w:val="24"/>
          <w:szCs w:val="24"/>
        </w:rPr>
        <w:t>6</w:t>
      </w:r>
      <w:r>
        <w:rPr>
          <w:rFonts w:ascii="仿宋" w:eastAsia="仿宋" w:hAnsi="仿宋" w:cs="Arial" w:hint="eastAsia"/>
          <w:sz w:val="24"/>
          <w:szCs w:val="24"/>
        </w:rPr>
        <w:t>万；</w:t>
      </w:r>
    </w:p>
    <w:p w:rsidR="00620C94" w:rsidRDefault="00620C94" w:rsidP="00620C94">
      <w:pPr>
        <w:spacing w:line="360" w:lineRule="auto"/>
        <w:ind w:rightChars="-297" w:right="-624" w:firstLineChars="200" w:firstLine="480"/>
        <w:jc w:val="left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2、硕士：综合年收入1</w:t>
      </w:r>
      <w:r>
        <w:rPr>
          <w:rFonts w:ascii="仿宋" w:eastAsia="仿宋" w:hAnsi="仿宋" w:cs="Arial"/>
          <w:sz w:val="24"/>
          <w:szCs w:val="24"/>
        </w:rPr>
        <w:t>6.7</w:t>
      </w:r>
      <w:r>
        <w:rPr>
          <w:rFonts w:ascii="仿宋" w:eastAsia="仿宋" w:hAnsi="仿宋" w:cs="Arial" w:hint="eastAsia"/>
          <w:sz w:val="24"/>
          <w:szCs w:val="24"/>
        </w:rPr>
        <w:t>万—2</w:t>
      </w:r>
      <w:r>
        <w:rPr>
          <w:rFonts w:ascii="仿宋" w:eastAsia="仿宋" w:hAnsi="仿宋" w:cs="Arial"/>
          <w:sz w:val="24"/>
          <w:szCs w:val="24"/>
        </w:rPr>
        <w:t>2</w:t>
      </w:r>
      <w:r>
        <w:rPr>
          <w:rFonts w:ascii="仿宋" w:eastAsia="仿宋" w:hAnsi="仿宋" w:cs="Arial" w:hint="eastAsia"/>
          <w:sz w:val="24"/>
          <w:szCs w:val="24"/>
        </w:rPr>
        <w:t>万；</w:t>
      </w:r>
    </w:p>
    <w:p w:rsidR="00620C94" w:rsidRDefault="00620C94" w:rsidP="00620C94">
      <w:pPr>
        <w:spacing w:line="360" w:lineRule="auto"/>
        <w:ind w:rightChars="-297" w:right="-624" w:firstLineChars="200" w:firstLine="480"/>
        <w:jc w:val="left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3、博士：年薪35万起；</w:t>
      </w:r>
    </w:p>
    <w:p w:rsidR="00620C94" w:rsidRDefault="00620C94" w:rsidP="00620C94">
      <w:pPr>
        <w:spacing w:line="360" w:lineRule="auto"/>
        <w:ind w:leftChars="223" w:left="828" w:rightChars="-297" w:right="-624" w:hangingChars="150" w:hanging="360"/>
        <w:jc w:val="left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4、以上收入不含加班费、项目奖、高温补贴、节假日福利等；</w:t>
      </w:r>
    </w:p>
    <w:p w:rsidR="00620C94" w:rsidRPr="00620C94" w:rsidRDefault="00620C94" w:rsidP="00620C94">
      <w:pPr>
        <w:spacing w:line="360" w:lineRule="auto"/>
        <w:ind w:leftChars="223" w:left="828" w:rightChars="-297" w:right="-624" w:hangingChars="150" w:hanging="360"/>
        <w:jc w:val="left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5、福利：厂车免费接送上下班、体检、学习深造、法定节假日休息、带薪年休假、购房免息借款、股权激励等。</w:t>
      </w:r>
    </w:p>
    <w:p w:rsidR="00457454" w:rsidRPr="00457454" w:rsidRDefault="00457454" w:rsidP="00457454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 w:rsidRPr="00457454">
        <w:rPr>
          <w:rFonts w:ascii="仿宋" w:eastAsia="仿宋" w:hAnsi="仿宋" w:hint="eastAsia"/>
          <w:b/>
          <w:sz w:val="28"/>
          <w:szCs w:val="28"/>
        </w:rPr>
        <w:t>四、工作</w:t>
      </w:r>
      <w:r w:rsidRPr="00457454">
        <w:rPr>
          <w:rFonts w:ascii="仿宋" w:eastAsia="仿宋" w:hAnsi="仿宋"/>
          <w:b/>
          <w:sz w:val="28"/>
          <w:szCs w:val="28"/>
        </w:rPr>
        <w:t>地点</w:t>
      </w:r>
    </w:p>
    <w:p w:rsidR="00457454" w:rsidRPr="008F7755" w:rsidRDefault="00457454" w:rsidP="00457454">
      <w:pPr>
        <w:spacing w:line="360" w:lineRule="auto"/>
        <w:ind w:rightChars="-297" w:right="-624"/>
        <w:jc w:val="left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 xml:space="preserve">    台州、杭州</w:t>
      </w:r>
    </w:p>
    <w:p w:rsidR="008D651D" w:rsidRPr="00586071" w:rsidRDefault="00457454" w:rsidP="00586071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五</w:t>
      </w:r>
      <w:r w:rsidR="00721A25" w:rsidRPr="00586071">
        <w:rPr>
          <w:rFonts w:ascii="仿宋" w:eastAsia="仿宋" w:hAnsi="仿宋" w:hint="eastAsia"/>
          <w:b/>
          <w:sz w:val="28"/>
          <w:szCs w:val="28"/>
        </w:rPr>
        <w:t>、简历投递方式</w:t>
      </w:r>
    </w:p>
    <w:bookmarkEnd w:id="4"/>
    <w:p w:rsidR="001E40A5" w:rsidRDefault="001E40A5" w:rsidP="00586071">
      <w:pPr>
        <w:spacing w:line="360" w:lineRule="auto"/>
        <w:ind w:rightChars="-297" w:right="-624" w:firstLineChars="200" w:firstLine="480"/>
        <w:jc w:val="left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1、现场简历投递；</w:t>
      </w:r>
    </w:p>
    <w:p w:rsidR="001E40A5" w:rsidRDefault="001E40A5" w:rsidP="00586071">
      <w:pPr>
        <w:spacing w:line="360" w:lineRule="auto"/>
        <w:ind w:rightChars="-297" w:right="-624" w:firstLineChars="200" w:firstLine="480"/>
        <w:jc w:val="left"/>
        <w:rPr>
          <w:rFonts w:ascii="仿宋" w:eastAsia="仿宋" w:hAnsi="仿宋" w:cs="Arial"/>
          <w:b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>2、发送简历“</w:t>
      </w:r>
      <w:r>
        <w:rPr>
          <w:rFonts w:ascii="仿宋" w:eastAsia="仿宋" w:hAnsi="仿宋" w:cs="Arial" w:hint="eastAsia"/>
          <w:b/>
          <w:sz w:val="24"/>
          <w:szCs w:val="24"/>
        </w:rPr>
        <w:t>学校-姓名-应聘岗位”</w:t>
      </w:r>
      <w:r>
        <w:rPr>
          <w:rFonts w:ascii="仿宋" w:eastAsia="仿宋" w:hAnsi="仿宋" w:cs="Arial" w:hint="eastAsia"/>
          <w:sz w:val="24"/>
          <w:szCs w:val="24"/>
        </w:rPr>
        <w:t>至</w:t>
      </w:r>
      <w:r>
        <w:rPr>
          <w:rFonts w:ascii="仿宋" w:eastAsia="仿宋" w:hAnsi="仿宋" w:cs="Arial" w:hint="eastAsia"/>
          <w:b/>
          <w:sz w:val="24"/>
          <w:szCs w:val="24"/>
        </w:rPr>
        <w:t>hr@ausunpharm.net邮箱；</w:t>
      </w:r>
    </w:p>
    <w:p w:rsidR="001E40A5" w:rsidRDefault="001E40A5" w:rsidP="00586071">
      <w:pPr>
        <w:spacing w:line="360" w:lineRule="auto"/>
        <w:ind w:rightChars="-297" w:right="-624" w:firstLineChars="200" w:firstLine="480"/>
        <w:jc w:val="left"/>
        <w:rPr>
          <w:rFonts w:ascii="仿宋" w:eastAsia="仿宋" w:hAnsi="仿宋" w:cs="Arial"/>
          <w:b/>
          <w:sz w:val="24"/>
          <w:szCs w:val="24"/>
        </w:rPr>
      </w:pPr>
      <w:r w:rsidRPr="00586071">
        <w:rPr>
          <w:rFonts w:ascii="仿宋" w:eastAsia="仿宋" w:hAnsi="仿宋" w:cs="Arial" w:hint="eastAsia"/>
          <w:sz w:val="24"/>
          <w:szCs w:val="24"/>
        </w:rPr>
        <w:t>3、</w:t>
      </w:r>
      <w:r w:rsidRPr="00762D7B">
        <w:rPr>
          <w:rFonts w:ascii="仿宋" w:eastAsia="仿宋" w:hAnsi="仿宋" w:cs="Arial" w:hint="eastAsia"/>
          <w:sz w:val="24"/>
          <w:szCs w:val="24"/>
        </w:rPr>
        <w:t>向我司</w:t>
      </w:r>
      <w:proofErr w:type="gramStart"/>
      <w:r w:rsidRPr="00762D7B">
        <w:rPr>
          <w:rFonts w:ascii="仿宋" w:eastAsia="仿宋" w:hAnsi="仿宋" w:cs="Arial" w:hint="eastAsia"/>
          <w:sz w:val="24"/>
          <w:szCs w:val="24"/>
        </w:rPr>
        <w:t>校招老师</w:t>
      </w:r>
      <w:proofErr w:type="gramEnd"/>
      <w:r w:rsidRPr="00762D7B">
        <w:rPr>
          <w:rFonts w:ascii="仿宋" w:eastAsia="仿宋" w:hAnsi="仿宋" w:cs="Arial" w:hint="eastAsia"/>
          <w:sz w:val="24"/>
          <w:szCs w:val="24"/>
        </w:rPr>
        <w:t>的手机直接电子简历投递</w:t>
      </w:r>
      <w:r w:rsidR="00586071">
        <w:rPr>
          <w:rFonts w:ascii="仿宋" w:eastAsia="仿宋" w:hAnsi="仿宋" w:cs="Arial" w:hint="eastAsia"/>
          <w:sz w:val="24"/>
          <w:szCs w:val="24"/>
        </w:rPr>
        <w:t>。</w:t>
      </w:r>
    </w:p>
    <w:p w:rsidR="001E40A5" w:rsidRPr="00586071" w:rsidRDefault="00457454" w:rsidP="00586071">
      <w:pPr>
        <w:spacing w:line="56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六</w:t>
      </w:r>
      <w:r w:rsidR="00586071">
        <w:rPr>
          <w:rFonts w:ascii="仿宋" w:eastAsia="仿宋" w:hAnsi="仿宋" w:hint="eastAsia"/>
          <w:b/>
          <w:sz w:val="28"/>
          <w:szCs w:val="28"/>
        </w:rPr>
        <w:t>、联系</w:t>
      </w:r>
      <w:r w:rsidR="00586071">
        <w:rPr>
          <w:rFonts w:ascii="仿宋" w:eastAsia="仿宋" w:hAnsi="仿宋"/>
          <w:b/>
          <w:sz w:val="28"/>
          <w:szCs w:val="28"/>
        </w:rPr>
        <w:t>方式</w:t>
      </w:r>
    </w:p>
    <w:p w:rsidR="001E40A5" w:rsidRPr="00586071" w:rsidRDefault="001E40A5" w:rsidP="001E40A5">
      <w:pPr>
        <w:spacing w:line="360" w:lineRule="auto"/>
        <w:ind w:rightChars="-297" w:right="-624"/>
        <w:jc w:val="left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b/>
          <w:sz w:val="24"/>
          <w:szCs w:val="24"/>
        </w:rPr>
        <w:t xml:space="preserve">  </w:t>
      </w:r>
      <w:r w:rsidR="00586071">
        <w:rPr>
          <w:rFonts w:ascii="仿宋" w:eastAsia="仿宋" w:hAnsi="仿宋" w:cs="Arial" w:hint="eastAsia"/>
          <w:sz w:val="24"/>
          <w:szCs w:val="24"/>
        </w:rPr>
        <w:t xml:space="preserve">  </w:t>
      </w:r>
      <w:r w:rsidRPr="00586071">
        <w:rPr>
          <w:rFonts w:ascii="仿宋" w:eastAsia="仿宋" w:hAnsi="仿宋" w:cs="Arial" w:hint="eastAsia"/>
          <w:sz w:val="24"/>
          <w:szCs w:val="24"/>
        </w:rPr>
        <w:t>1、</w:t>
      </w:r>
      <w:proofErr w:type="gramStart"/>
      <w:r w:rsidRPr="00586071">
        <w:rPr>
          <w:rFonts w:ascii="仿宋" w:eastAsia="仿宋" w:hAnsi="仿宋" w:cs="Arial" w:hint="eastAsia"/>
          <w:sz w:val="24"/>
          <w:szCs w:val="24"/>
        </w:rPr>
        <w:t>校招老师</w:t>
      </w:r>
      <w:proofErr w:type="gramEnd"/>
    </w:p>
    <w:p w:rsidR="001E40A5" w:rsidRDefault="001E40A5" w:rsidP="00FF186B">
      <w:pPr>
        <w:spacing w:line="360" w:lineRule="auto"/>
        <w:ind w:leftChars="-202" w:left="-424" w:rightChars="-297" w:right="-624" w:firstLineChars="582" w:firstLine="1397"/>
        <w:jc w:val="left"/>
        <w:rPr>
          <w:rFonts w:ascii="仿宋" w:eastAsia="仿宋" w:hAnsi="仿宋" w:cs="Arial" w:hint="eastAsia"/>
          <w:sz w:val="24"/>
          <w:szCs w:val="24"/>
        </w:rPr>
      </w:pPr>
      <w:r w:rsidRPr="00586071">
        <w:rPr>
          <w:rFonts w:ascii="仿宋" w:eastAsia="仿宋" w:hAnsi="仿宋" w:cs="Arial" w:hint="eastAsia"/>
          <w:sz w:val="24"/>
          <w:szCs w:val="24"/>
        </w:rPr>
        <w:t>王老师：13857652787    肖老师：13666831159</w:t>
      </w:r>
    </w:p>
    <w:p w:rsidR="009B6483" w:rsidRPr="009B6483" w:rsidRDefault="009B6483" w:rsidP="009B6483">
      <w:pPr>
        <w:widowControl/>
        <w:jc w:val="left"/>
        <w:rPr>
          <w:rFonts w:ascii="Times New Roman" w:hAnsi="Times New Roman"/>
          <w:kern w:val="0"/>
          <w:sz w:val="28"/>
          <w:szCs w:val="28"/>
        </w:rPr>
      </w:pPr>
      <w:r>
        <w:rPr>
          <w:rFonts w:ascii="仿宋" w:eastAsia="仿宋" w:hAnsi="仿宋" w:cs="Arial"/>
          <w:sz w:val="24"/>
          <w:szCs w:val="24"/>
        </w:rPr>
        <w:t xml:space="preserve">        </w:t>
      </w:r>
      <w:proofErr w:type="gramStart"/>
      <w:r>
        <w:rPr>
          <w:rFonts w:ascii="仿宋" w:eastAsia="仿宋" w:hAnsi="仿宋" w:cs="Arial"/>
          <w:sz w:val="24"/>
          <w:szCs w:val="24"/>
        </w:rPr>
        <w:t>於</w:t>
      </w:r>
      <w:proofErr w:type="gramEnd"/>
      <w:r>
        <w:rPr>
          <w:rFonts w:ascii="仿宋" w:eastAsia="仿宋" w:hAnsi="仿宋" w:cs="Arial"/>
          <w:sz w:val="24"/>
          <w:szCs w:val="24"/>
        </w:rPr>
        <w:t>老师：</w:t>
      </w:r>
      <w:r>
        <w:rPr>
          <w:rFonts w:ascii="仿宋" w:eastAsia="仿宋" w:hAnsi="仿宋" w:cs="Arial" w:hint="eastAsia"/>
          <w:sz w:val="24"/>
          <w:szCs w:val="24"/>
        </w:rPr>
        <w:t>1</w:t>
      </w:r>
      <w:r>
        <w:rPr>
          <w:rFonts w:ascii="仿宋" w:eastAsia="仿宋" w:hAnsi="仿宋" w:cs="Arial"/>
          <w:sz w:val="24"/>
          <w:szCs w:val="24"/>
        </w:rPr>
        <w:t>3819638220    管老师：</w:t>
      </w:r>
      <w:r w:rsidRPr="00FF186B">
        <w:rPr>
          <w:rFonts w:ascii="仿宋" w:eastAsia="仿宋" w:hAnsi="仿宋" w:cs="Arial"/>
          <w:sz w:val="24"/>
          <w:szCs w:val="24"/>
        </w:rPr>
        <w:t>15057609965</w:t>
      </w:r>
    </w:p>
    <w:p w:rsidR="009B6483" w:rsidRPr="00586071" w:rsidRDefault="009B6483" w:rsidP="001E40A5">
      <w:pPr>
        <w:spacing w:line="360" w:lineRule="auto"/>
        <w:ind w:leftChars="-202" w:left="-424" w:rightChars="-297" w:right="-624" w:firstLineChars="182" w:firstLine="437"/>
        <w:jc w:val="left"/>
        <w:rPr>
          <w:rFonts w:ascii="仿宋" w:eastAsia="仿宋" w:hAnsi="仿宋" w:cs="Arial"/>
          <w:sz w:val="24"/>
          <w:szCs w:val="24"/>
        </w:rPr>
      </w:pPr>
    </w:p>
    <w:p w:rsidR="001E40A5" w:rsidRPr="00586071" w:rsidRDefault="00586071" w:rsidP="001E40A5">
      <w:pPr>
        <w:spacing w:line="360" w:lineRule="auto"/>
        <w:ind w:rightChars="-297" w:right="-624"/>
        <w:jc w:val="left"/>
        <w:rPr>
          <w:rFonts w:ascii="仿宋" w:eastAsia="仿宋" w:hAnsi="仿宋" w:cs="Arial"/>
          <w:sz w:val="24"/>
          <w:szCs w:val="24"/>
        </w:rPr>
      </w:pPr>
      <w:r>
        <w:rPr>
          <w:rFonts w:ascii="仿宋" w:eastAsia="仿宋" w:hAnsi="仿宋" w:cs="Arial" w:hint="eastAsia"/>
          <w:sz w:val="24"/>
          <w:szCs w:val="24"/>
        </w:rPr>
        <w:t xml:space="preserve">    </w:t>
      </w:r>
      <w:r w:rsidR="001E40A5" w:rsidRPr="00586071">
        <w:rPr>
          <w:rFonts w:ascii="仿宋" w:eastAsia="仿宋" w:hAnsi="仿宋" w:cs="Arial" w:hint="eastAsia"/>
          <w:sz w:val="24"/>
          <w:szCs w:val="24"/>
        </w:rPr>
        <w:t>2、人力资源部</w:t>
      </w:r>
    </w:p>
    <w:p w:rsidR="004727D1" w:rsidRPr="00586071" w:rsidRDefault="001E40A5" w:rsidP="00F87472">
      <w:pPr>
        <w:spacing w:line="360" w:lineRule="auto"/>
        <w:ind w:leftChars="-202" w:left="-424" w:rightChars="-297" w:right="-624" w:firstLineChars="182" w:firstLine="437"/>
        <w:jc w:val="left"/>
        <w:rPr>
          <w:rFonts w:ascii="仿宋" w:eastAsia="仿宋" w:hAnsi="仿宋" w:cs="Arial"/>
          <w:sz w:val="24"/>
          <w:szCs w:val="24"/>
        </w:rPr>
      </w:pPr>
      <w:r w:rsidRPr="00586071">
        <w:rPr>
          <w:rFonts w:ascii="仿宋" w:eastAsia="仿宋" w:hAnsi="仿宋" w:cs="Arial" w:hint="eastAsia"/>
          <w:sz w:val="24"/>
          <w:szCs w:val="24"/>
        </w:rPr>
        <w:t xml:space="preserve">        徐老师：办公电话  0576-85589365   </w:t>
      </w:r>
      <w:bookmarkStart w:id="5" w:name="_GoBack"/>
      <w:bookmarkEnd w:id="5"/>
    </w:p>
    <w:sectPr w:rsidR="004727D1" w:rsidRPr="00586071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630E" w:rsidRDefault="003F630E">
      <w:r>
        <w:separator/>
      </w:r>
    </w:p>
  </w:endnote>
  <w:endnote w:type="continuationSeparator" w:id="0">
    <w:p w:rsidR="003F630E" w:rsidRDefault="003F6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DCF" w:rsidRDefault="00FA4DCF">
    <w:pPr>
      <w:pStyle w:val="a4"/>
      <w:tabs>
        <w:tab w:val="clear" w:pos="8306"/>
        <w:tab w:val="right" w:pos="9214"/>
      </w:tabs>
      <w:ind w:leftChars="-472" w:left="-991" w:rightChars="-432" w:right="-907" w:firstLineChars="200" w:firstLine="420"/>
      <w:rPr>
        <w:sz w:val="21"/>
        <w:szCs w:val="21"/>
      </w:rPr>
    </w:pPr>
    <w:r>
      <w:rPr>
        <w:rFonts w:hint="eastAsia"/>
        <w:sz w:val="21"/>
        <w:szCs w:val="21"/>
      </w:rPr>
      <w:t>联系电话：</w:t>
    </w:r>
    <w:r>
      <w:rPr>
        <w:sz w:val="21"/>
        <w:szCs w:val="21"/>
      </w:rPr>
      <w:t xml:space="preserve">0576-85589365  </w:t>
    </w:r>
    <w:r w:rsidR="00C843DA">
      <w:rPr>
        <w:sz w:val="21"/>
        <w:szCs w:val="21"/>
      </w:rPr>
      <w:t xml:space="preserve">   </w:t>
    </w:r>
    <w:r>
      <w:rPr>
        <w:rFonts w:hint="eastAsia"/>
        <w:sz w:val="21"/>
        <w:szCs w:val="21"/>
      </w:rPr>
      <w:t>网址：</w:t>
    </w:r>
    <w:r>
      <w:rPr>
        <w:sz w:val="21"/>
        <w:szCs w:val="21"/>
      </w:rPr>
      <w:t>www.ausunpharm.com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630E" w:rsidRDefault="003F630E">
      <w:r>
        <w:separator/>
      </w:r>
    </w:p>
  </w:footnote>
  <w:footnote w:type="continuationSeparator" w:id="0">
    <w:p w:rsidR="003F630E" w:rsidRDefault="003F6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4DCF" w:rsidRDefault="00FA4DCF">
    <w:pPr>
      <w:ind w:leftChars="-540" w:left="-1134"/>
      <w:jc w:val="left"/>
      <w:rPr>
        <w:rFonts w:ascii="Arial" w:hAnsi="Arial" w:cs="Arial"/>
        <w:b/>
        <w:color w:val="FF0000"/>
        <w:sz w:val="48"/>
        <w:szCs w:val="48"/>
      </w:rPr>
    </w:pPr>
    <w:r>
      <w:rPr>
        <w:rFonts w:ascii="Arial" w:hAnsi="Arial" w:cs="Arial"/>
        <w:b/>
        <w:color w:val="FF0000"/>
        <w:sz w:val="48"/>
        <w:szCs w:val="48"/>
      </w:rPr>
      <w:t>AUSUN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365E2"/>
    <w:multiLevelType w:val="hybridMultilevel"/>
    <w:tmpl w:val="57A85BA4"/>
    <w:lvl w:ilvl="0" w:tplc="8B269BAA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A25C78"/>
    <w:multiLevelType w:val="hybridMultilevel"/>
    <w:tmpl w:val="C6927E9A"/>
    <w:lvl w:ilvl="0" w:tplc="A0B850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D876E1C"/>
    <w:multiLevelType w:val="hybridMultilevel"/>
    <w:tmpl w:val="CE0AEB72"/>
    <w:lvl w:ilvl="0" w:tplc="2ADE04AE">
      <w:start w:val="3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83B52B1"/>
    <w:multiLevelType w:val="hybridMultilevel"/>
    <w:tmpl w:val="E7C405F6"/>
    <w:lvl w:ilvl="0" w:tplc="4118829A">
      <w:start w:val="1"/>
      <w:numFmt w:val="decimal"/>
      <w:lvlText w:val="%1、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7AAF6EFB"/>
    <w:multiLevelType w:val="multilevel"/>
    <w:tmpl w:val="7AAF6EFB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A4A"/>
    <w:rsid w:val="00001E96"/>
    <w:rsid w:val="00003935"/>
    <w:rsid w:val="000047CF"/>
    <w:rsid w:val="000056E9"/>
    <w:rsid w:val="00036C4D"/>
    <w:rsid w:val="00041A83"/>
    <w:rsid w:val="0004453A"/>
    <w:rsid w:val="00051D0A"/>
    <w:rsid w:val="00054729"/>
    <w:rsid w:val="000604A3"/>
    <w:rsid w:val="000612DA"/>
    <w:rsid w:val="00081727"/>
    <w:rsid w:val="00084C6B"/>
    <w:rsid w:val="00090F36"/>
    <w:rsid w:val="00092475"/>
    <w:rsid w:val="000A3892"/>
    <w:rsid w:val="000D0EE2"/>
    <w:rsid w:val="000D2EA4"/>
    <w:rsid w:val="000D5E63"/>
    <w:rsid w:val="000E5FAA"/>
    <w:rsid w:val="000F275B"/>
    <w:rsid w:val="000F405E"/>
    <w:rsid w:val="00102BB1"/>
    <w:rsid w:val="001121DB"/>
    <w:rsid w:val="00130294"/>
    <w:rsid w:val="001326B8"/>
    <w:rsid w:val="0015098B"/>
    <w:rsid w:val="00160BE1"/>
    <w:rsid w:val="0016284D"/>
    <w:rsid w:val="001758A9"/>
    <w:rsid w:val="00177A79"/>
    <w:rsid w:val="001845FA"/>
    <w:rsid w:val="00187CF0"/>
    <w:rsid w:val="00193677"/>
    <w:rsid w:val="001A5116"/>
    <w:rsid w:val="001C5CBB"/>
    <w:rsid w:val="001D3456"/>
    <w:rsid w:val="001D7B02"/>
    <w:rsid w:val="001E32E5"/>
    <w:rsid w:val="001E40A5"/>
    <w:rsid w:val="001E61E0"/>
    <w:rsid w:val="001F1636"/>
    <w:rsid w:val="002021CD"/>
    <w:rsid w:val="0021278D"/>
    <w:rsid w:val="00214355"/>
    <w:rsid w:val="00215473"/>
    <w:rsid w:val="00226D5A"/>
    <w:rsid w:val="002438EC"/>
    <w:rsid w:val="002470BD"/>
    <w:rsid w:val="00253779"/>
    <w:rsid w:val="002705C6"/>
    <w:rsid w:val="002765A7"/>
    <w:rsid w:val="00282186"/>
    <w:rsid w:val="00286FE5"/>
    <w:rsid w:val="0029015D"/>
    <w:rsid w:val="0029661D"/>
    <w:rsid w:val="002A796A"/>
    <w:rsid w:val="002B0D51"/>
    <w:rsid w:val="002B29B1"/>
    <w:rsid w:val="002B714F"/>
    <w:rsid w:val="002C7732"/>
    <w:rsid w:val="002D2160"/>
    <w:rsid w:val="002E0E69"/>
    <w:rsid w:val="002E4CBB"/>
    <w:rsid w:val="002E601D"/>
    <w:rsid w:val="002E646A"/>
    <w:rsid w:val="002F21EB"/>
    <w:rsid w:val="002F459A"/>
    <w:rsid w:val="0030115F"/>
    <w:rsid w:val="003019AF"/>
    <w:rsid w:val="00313D84"/>
    <w:rsid w:val="00314266"/>
    <w:rsid w:val="003316E4"/>
    <w:rsid w:val="003426C8"/>
    <w:rsid w:val="00346F85"/>
    <w:rsid w:val="00352985"/>
    <w:rsid w:val="0035380D"/>
    <w:rsid w:val="00356F0E"/>
    <w:rsid w:val="00364AD4"/>
    <w:rsid w:val="00367070"/>
    <w:rsid w:val="00374F9F"/>
    <w:rsid w:val="00375935"/>
    <w:rsid w:val="00376811"/>
    <w:rsid w:val="00380C48"/>
    <w:rsid w:val="003858CD"/>
    <w:rsid w:val="003905BD"/>
    <w:rsid w:val="00396542"/>
    <w:rsid w:val="003A5B2F"/>
    <w:rsid w:val="003B5BA1"/>
    <w:rsid w:val="003D0431"/>
    <w:rsid w:val="003D135B"/>
    <w:rsid w:val="003E0E6F"/>
    <w:rsid w:val="003F630E"/>
    <w:rsid w:val="003F6DFA"/>
    <w:rsid w:val="00400BE5"/>
    <w:rsid w:val="004021DE"/>
    <w:rsid w:val="004107BD"/>
    <w:rsid w:val="0041439E"/>
    <w:rsid w:val="00415B94"/>
    <w:rsid w:val="004171E7"/>
    <w:rsid w:val="00427A80"/>
    <w:rsid w:val="004424AE"/>
    <w:rsid w:val="004513BC"/>
    <w:rsid w:val="00451D42"/>
    <w:rsid w:val="00457454"/>
    <w:rsid w:val="004727D1"/>
    <w:rsid w:val="0047388B"/>
    <w:rsid w:val="004741B3"/>
    <w:rsid w:val="00475415"/>
    <w:rsid w:val="00486FDE"/>
    <w:rsid w:val="00491B2C"/>
    <w:rsid w:val="004A1563"/>
    <w:rsid w:val="004A345E"/>
    <w:rsid w:val="004B1C59"/>
    <w:rsid w:val="004B7650"/>
    <w:rsid w:val="004C5EF7"/>
    <w:rsid w:val="004E21BE"/>
    <w:rsid w:val="004F78DD"/>
    <w:rsid w:val="00500F49"/>
    <w:rsid w:val="00502681"/>
    <w:rsid w:val="00511922"/>
    <w:rsid w:val="00514B46"/>
    <w:rsid w:val="00516081"/>
    <w:rsid w:val="00517E69"/>
    <w:rsid w:val="00521942"/>
    <w:rsid w:val="005232CB"/>
    <w:rsid w:val="00526A2A"/>
    <w:rsid w:val="00542A75"/>
    <w:rsid w:val="00544867"/>
    <w:rsid w:val="00554B57"/>
    <w:rsid w:val="00556553"/>
    <w:rsid w:val="00557B6A"/>
    <w:rsid w:val="00562C2C"/>
    <w:rsid w:val="0057153C"/>
    <w:rsid w:val="00572AB3"/>
    <w:rsid w:val="0057329F"/>
    <w:rsid w:val="00573D22"/>
    <w:rsid w:val="00574B31"/>
    <w:rsid w:val="00586071"/>
    <w:rsid w:val="00591C55"/>
    <w:rsid w:val="00592F69"/>
    <w:rsid w:val="00594044"/>
    <w:rsid w:val="005B2C3B"/>
    <w:rsid w:val="005B5429"/>
    <w:rsid w:val="005E1698"/>
    <w:rsid w:val="005E1B84"/>
    <w:rsid w:val="005F26F8"/>
    <w:rsid w:val="005F33E3"/>
    <w:rsid w:val="005F5AB9"/>
    <w:rsid w:val="005F657A"/>
    <w:rsid w:val="00604909"/>
    <w:rsid w:val="00620C94"/>
    <w:rsid w:val="00625377"/>
    <w:rsid w:val="00631552"/>
    <w:rsid w:val="006319DB"/>
    <w:rsid w:val="00663266"/>
    <w:rsid w:val="00670F13"/>
    <w:rsid w:val="00673AF6"/>
    <w:rsid w:val="00673B58"/>
    <w:rsid w:val="0068162C"/>
    <w:rsid w:val="00684489"/>
    <w:rsid w:val="00685D79"/>
    <w:rsid w:val="006943AC"/>
    <w:rsid w:val="006A3F98"/>
    <w:rsid w:val="006A41AA"/>
    <w:rsid w:val="006C6509"/>
    <w:rsid w:val="00702B84"/>
    <w:rsid w:val="00710A48"/>
    <w:rsid w:val="00713D11"/>
    <w:rsid w:val="007211EB"/>
    <w:rsid w:val="00721A25"/>
    <w:rsid w:val="00725705"/>
    <w:rsid w:val="0073659F"/>
    <w:rsid w:val="0073674C"/>
    <w:rsid w:val="00745CF3"/>
    <w:rsid w:val="007464C0"/>
    <w:rsid w:val="00762D7B"/>
    <w:rsid w:val="00786134"/>
    <w:rsid w:val="007C3BD1"/>
    <w:rsid w:val="007C7E9F"/>
    <w:rsid w:val="007D00CC"/>
    <w:rsid w:val="007D2590"/>
    <w:rsid w:val="007D6981"/>
    <w:rsid w:val="007D6B00"/>
    <w:rsid w:val="007E7DF0"/>
    <w:rsid w:val="007F062F"/>
    <w:rsid w:val="00800813"/>
    <w:rsid w:val="008059FA"/>
    <w:rsid w:val="0083672B"/>
    <w:rsid w:val="008567F3"/>
    <w:rsid w:val="008778BC"/>
    <w:rsid w:val="00881C5A"/>
    <w:rsid w:val="00891BDE"/>
    <w:rsid w:val="0089237D"/>
    <w:rsid w:val="00894C86"/>
    <w:rsid w:val="00897080"/>
    <w:rsid w:val="00897A7E"/>
    <w:rsid w:val="008A20FA"/>
    <w:rsid w:val="008A516C"/>
    <w:rsid w:val="008B6C9D"/>
    <w:rsid w:val="008C7918"/>
    <w:rsid w:val="008D133E"/>
    <w:rsid w:val="008D651D"/>
    <w:rsid w:val="008F72F1"/>
    <w:rsid w:val="008F7755"/>
    <w:rsid w:val="008F7A91"/>
    <w:rsid w:val="00900F1C"/>
    <w:rsid w:val="009017E1"/>
    <w:rsid w:val="0090264F"/>
    <w:rsid w:val="00906DC5"/>
    <w:rsid w:val="00914DAE"/>
    <w:rsid w:val="00922DE0"/>
    <w:rsid w:val="00924FAC"/>
    <w:rsid w:val="009310E4"/>
    <w:rsid w:val="00936E7F"/>
    <w:rsid w:val="00940114"/>
    <w:rsid w:val="009417F9"/>
    <w:rsid w:val="00943A4A"/>
    <w:rsid w:val="0094734F"/>
    <w:rsid w:val="009826A0"/>
    <w:rsid w:val="0099302A"/>
    <w:rsid w:val="009A3C99"/>
    <w:rsid w:val="009B6483"/>
    <w:rsid w:val="009C04D2"/>
    <w:rsid w:val="00A017F2"/>
    <w:rsid w:val="00A01D4D"/>
    <w:rsid w:val="00A05831"/>
    <w:rsid w:val="00A25321"/>
    <w:rsid w:val="00A420BD"/>
    <w:rsid w:val="00A440A7"/>
    <w:rsid w:val="00A443E5"/>
    <w:rsid w:val="00A53908"/>
    <w:rsid w:val="00A556DC"/>
    <w:rsid w:val="00A767FE"/>
    <w:rsid w:val="00A8154E"/>
    <w:rsid w:val="00A83656"/>
    <w:rsid w:val="00A85D45"/>
    <w:rsid w:val="00A8640E"/>
    <w:rsid w:val="00A933C0"/>
    <w:rsid w:val="00A96265"/>
    <w:rsid w:val="00A97988"/>
    <w:rsid w:val="00AA0412"/>
    <w:rsid w:val="00AA5338"/>
    <w:rsid w:val="00AB1538"/>
    <w:rsid w:val="00AC141D"/>
    <w:rsid w:val="00AC34B4"/>
    <w:rsid w:val="00AD2A67"/>
    <w:rsid w:val="00AE0590"/>
    <w:rsid w:val="00AE0F1B"/>
    <w:rsid w:val="00B14701"/>
    <w:rsid w:val="00B15F91"/>
    <w:rsid w:val="00B30CEC"/>
    <w:rsid w:val="00B35601"/>
    <w:rsid w:val="00B4023C"/>
    <w:rsid w:val="00B4525D"/>
    <w:rsid w:val="00B61AC0"/>
    <w:rsid w:val="00B830C1"/>
    <w:rsid w:val="00B8493E"/>
    <w:rsid w:val="00BA4144"/>
    <w:rsid w:val="00BB0D2F"/>
    <w:rsid w:val="00BB3D08"/>
    <w:rsid w:val="00BB40A2"/>
    <w:rsid w:val="00BC32C4"/>
    <w:rsid w:val="00BD0DB5"/>
    <w:rsid w:val="00BD1438"/>
    <w:rsid w:val="00BD2D3D"/>
    <w:rsid w:val="00BD6976"/>
    <w:rsid w:val="00BF0A39"/>
    <w:rsid w:val="00C0256E"/>
    <w:rsid w:val="00C13145"/>
    <w:rsid w:val="00C14FD8"/>
    <w:rsid w:val="00C15DFA"/>
    <w:rsid w:val="00C16991"/>
    <w:rsid w:val="00C20DA4"/>
    <w:rsid w:val="00C315A1"/>
    <w:rsid w:val="00C321F8"/>
    <w:rsid w:val="00C4010C"/>
    <w:rsid w:val="00C51372"/>
    <w:rsid w:val="00C553AD"/>
    <w:rsid w:val="00C605B8"/>
    <w:rsid w:val="00C632C0"/>
    <w:rsid w:val="00C64CF2"/>
    <w:rsid w:val="00C75329"/>
    <w:rsid w:val="00C843DA"/>
    <w:rsid w:val="00C9324C"/>
    <w:rsid w:val="00CA49E7"/>
    <w:rsid w:val="00CB280A"/>
    <w:rsid w:val="00CB6AAA"/>
    <w:rsid w:val="00CC7580"/>
    <w:rsid w:val="00CE1AC7"/>
    <w:rsid w:val="00CE7DF8"/>
    <w:rsid w:val="00CF317F"/>
    <w:rsid w:val="00D229D7"/>
    <w:rsid w:val="00D33596"/>
    <w:rsid w:val="00D35519"/>
    <w:rsid w:val="00D35D45"/>
    <w:rsid w:val="00D40024"/>
    <w:rsid w:val="00D55861"/>
    <w:rsid w:val="00D64F86"/>
    <w:rsid w:val="00D739C6"/>
    <w:rsid w:val="00D741C3"/>
    <w:rsid w:val="00D80CD2"/>
    <w:rsid w:val="00D907F2"/>
    <w:rsid w:val="00DA4A91"/>
    <w:rsid w:val="00DB61CD"/>
    <w:rsid w:val="00DF1B6D"/>
    <w:rsid w:val="00DF2C73"/>
    <w:rsid w:val="00DF75A6"/>
    <w:rsid w:val="00E20CEE"/>
    <w:rsid w:val="00E33B82"/>
    <w:rsid w:val="00E35212"/>
    <w:rsid w:val="00E354E3"/>
    <w:rsid w:val="00E438A4"/>
    <w:rsid w:val="00E43C30"/>
    <w:rsid w:val="00E44BFF"/>
    <w:rsid w:val="00E4532F"/>
    <w:rsid w:val="00E503DB"/>
    <w:rsid w:val="00E509A1"/>
    <w:rsid w:val="00E53993"/>
    <w:rsid w:val="00E63115"/>
    <w:rsid w:val="00E9044F"/>
    <w:rsid w:val="00E9163D"/>
    <w:rsid w:val="00EA6FFE"/>
    <w:rsid w:val="00EA725B"/>
    <w:rsid w:val="00EB0827"/>
    <w:rsid w:val="00EB3D2E"/>
    <w:rsid w:val="00EB7CEB"/>
    <w:rsid w:val="00ED4342"/>
    <w:rsid w:val="00EF0E0D"/>
    <w:rsid w:val="00EF2E92"/>
    <w:rsid w:val="00F01777"/>
    <w:rsid w:val="00F04CFE"/>
    <w:rsid w:val="00F07207"/>
    <w:rsid w:val="00F07C20"/>
    <w:rsid w:val="00F1618C"/>
    <w:rsid w:val="00F22231"/>
    <w:rsid w:val="00F23284"/>
    <w:rsid w:val="00F355C8"/>
    <w:rsid w:val="00F51785"/>
    <w:rsid w:val="00F53BA4"/>
    <w:rsid w:val="00F5695C"/>
    <w:rsid w:val="00F73BBE"/>
    <w:rsid w:val="00F87472"/>
    <w:rsid w:val="00FA05CF"/>
    <w:rsid w:val="00FA2777"/>
    <w:rsid w:val="00FA4DCF"/>
    <w:rsid w:val="00FD1E0F"/>
    <w:rsid w:val="00FD6E40"/>
    <w:rsid w:val="00FE182F"/>
    <w:rsid w:val="00FE3340"/>
    <w:rsid w:val="00FE5AFC"/>
    <w:rsid w:val="00FF186B"/>
    <w:rsid w:val="53B42E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white">
      <v:fill color="white"/>
    </o:shapedefaults>
    <o:shapelayout v:ext="edit">
      <o:idmap v:ext="edit" data="1"/>
    </o:shapelayout>
  </w:shapeDefaults>
  <w:decimalSymbol w:val="."/>
  <w:listSeparator w:val=","/>
  <w15:docId w15:val="{2CBA7C51-B552-4B52-847F-E33639A7B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7">
    <w:name w:val="Table Grid"/>
    <w:basedOn w:val="a1"/>
    <w:uiPriority w:val="59"/>
    <w:locked/>
    <w:rPr>
      <w:rFonts w:asciiTheme="minorHAnsi" w:eastAsiaTheme="minorEastAsia" w:hAnsiTheme="minorHAnsi" w:cstheme="minorBid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link w:val="a5"/>
    <w:uiPriority w:val="99"/>
    <w:locked/>
    <w:rPr>
      <w:rFonts w:cs="Times New Roman"/>
      <w:sz w:val="18"/>
      <w:szCs w:val="18"/>
    </w:rPr>
  </w:style>
  <w:style w:type="character" w:customStyle="1" w:styleId="Char0">
    <w:name w:val="页脚 Char"/>
    <w:link w:val="a4"/>
    <w:uiPriority w:val="99"/>
    <w:locked/>
    <w:rPr>
      <w:rFonts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locked/>
    <w:rPr>
      <w:rFonts w:cs="Times New Roman"/>
      <w:sz w:val="18"/>
      <w:szCs w:val="18"/>
    </w:rPr>
  </w:style>
  <w:style w:type="paragraph" w:customStyle="1" w:styleId="Char2">
    <w:name w:val="Char"/>
    <w:basedOn w:val="a"/>
    <w:pPr>
      <w:widowControl/>
      <w:spacing w:after="160" w:line="240" w:lineRule="exact"/>
      <w:jc w:val="left"/>
    </w:pPr>
    <w:rPr>
      <w:rFonts w:ascii="Times New Roman" w:hAnsi="Times New Roman"/>
      <w:szCs w:val="24"/>
    </w:r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796</TotalTime>
  <Pages>3</Pages>
  <Words>205</Words>
  <Characters>1169</Characters>
  <Application>Microsoft Office Word</Application>
  <DocSecurity>0</DocSecurity>
  <Lines>9</Lines>
  <Paragraphs>2</Paragraphs>
  <ScaleCrop>false</ScaleCrop>
  <Company>Sky123.Org</Company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刘忠琴</cp:lastModifiedBy>
  <cp:revision>81</cp:revision>
  <cp:lastPrinted>2019-08-13T03:12:00Z</cp:lastPrinted>
  <dcterms:created xsi:type="dcterms:W3CDTF">2020-09-15T06:53:00Z</dcterms:created>
  <dcterms:modified xsi:type="dcterms:W3CDTF">2023-09-28T09:47:00Z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